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D8CB" w14:textId="11453B6A" w:rsidR="00947B7E" w:rsidRPr="009B21DF" w:rsidRDefault="00947B7E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9B21DF">
        <w:rPr>
          <w:rFonts w:ascii="Times New Roman" w:hAnsi="Times New Roman" w:cs="Times New Roman"/>
          <w:b/>
          <w:sz w:val="28"/>
          <w:szCs w:val="28"/>
          <w:lang w:val="sv-SE"/>
        </w:rPr>
        <w:t>Verksamhetsplan 20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721677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9B21DF">
        <w:rPr>
          <w:rFonts w:ascii="Times New Roman" w:hAnsi="Times New Roman" w:cs="Times New Roman"/>
          <w:b/>
          <w:sz w:val="28"/>
          <w:szCs w:val="28"/>
          <w:lang w:val="sv-SE"/>
        </w:rPr>
        <w:t>för Stockholm Top Gymnastics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</w:t>
      </w:r>
    </w:p>
    <w:p w14:paraId="6A53B50B" w14:textId="77777777" w:rsidR="00947B7E" w:rsidRDefault="00947B7E" w:rsidP="00947B7E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285543E9" w14:textId="2D30988B" w:rsidR="00947B7E" w:rsidRDefault="00E94F96" w:rsidP="00947B7E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Stockholm </w:t>
      </w:r>
      <w:r w:rsidR="00966929">
        <w:rPr>
          <w:rFonts w:ascii="Times New Roman" w:hAnsi="Times New Roman" w:cs="Times New Roman"/>
          <w:sz w:val="28"/>
          <w:szCs w:val="28"/>
          <w:lang w:val="sv-SE"/>
        </w:rPr>
        <w:t>T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op </w:t>
      </w:r>
      <w:r w:rsidR="00966929">
        <w:rPr>
          <w:rFonts w:ascii="Times New Roman" w:hAnsi="Times New Roman" w:cs="Times New Roman"/>
          <w:sz w:val="28"/>
          <w:szCs w:val="28"/>
          <w:lang w:val="sv-SE"/>
        </w:rPr>
        <w:t>Gymnastics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är </w:t>
      </w:r>
      <w:r w:rsidR="003C3B3F">
        <w:rPr>
          <w:rFonts w:ascii="Times New Roman" w:hAnsi="Times New Roman" w:cs="Times New Roman"/>
          <w:sz w:val="28"/>
          <w:szCs w:val="28"/>
          <w:lang w:val="sv-SE"/>
        </w:rPr>
        <w:t xml:space="preserve">en förening som erbjuder träning för alla från de yngsta </w:t>
      </w:r>
      <w:r w:rsidR="00FB1875">
        <w:rPr>
          <w:rFonts w:ascii="Times New Roman" w:hAnsi="Times New Roman" w:cs="Times New Roman"/>
          <w:sz w:val="28"/>
          <w:szCs w:val="28"/>
          <w:lang w:val="sv-SE"/>
        </w:rPr>
        <w:t xml:space="preserve">till äldsta, från bredd </w:t>
      </w:r>
      <w:r w:rsidR="003C3B3F">
        <w:rPr>
          <w:rFonts w:ascii="Times New Roman" w:hAnsi="Times New Roman" w:cs="Times New Roman"/>
          <w:sz w:val="28"/>
          <w:szCs w:val="28"/>
          <w:lang w:val="sv-SE"/>
        </w:rPr>
        <w:t xml:space="preserve">till </w:t>
      </w:r>
      <w:r w:rsidR="00FE53FF">
        <w:rPr>
          <w:rFonts w:ascii="Times New Roman" w:hAnsi="Times New Roman" w:cs="Times New Roman"/>
          <w:sz w:val="28"/>
          <w:szCs w:val="28"/>
          <w:lang w:val="sv-SE"/>
        </w:rPr>
        <w:t>världselit</w:t>
      </w:r>
      <w:r w:rsidR="003C3B3F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947B7E">
        <w:rPr>
          <w:rFonts w:ascii="Times New Roman" w:hAnsi="Times New Roman" w:cs="Times New Roman"/>
          <w:sz w:val="28"/>
          <w:szCs w:val="28"/>
          <w:lang w:val="sv-SE"/>
        </w:rPr>
        <w:t xml:space="preserve"> Då föreningen fort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>sätter att</w:t>
      </w:r>
      <w:r w:rsidR="00947B7E">
        <w:rPr>
          <w:rFonts w:ascii="Times New Roman" w:hAnsi="Times New Roman" w:cs="Times New Roman"/>
          <w:sz w:val="28"/>
          <w:szCs w:val="28"/>
          <w:lang w:val="sv-SE"/>
        </w:rPr>
        <w:t xml:space="preserve"> växa ligger fokus fortsatt på våra huvudområden med ett extra fokus på kvalitet i vår verksamhet</w:t>
      </w:r>
      <w:r w:rsidR="007B0B0E">
        <w:rPr>
          <w:rFonts w:ascii="Times New Roman" w:hAnsi="Times New Roman" w:cs="Times New Roman"/>
          <w:sz w:val="28"/>
          <w:szCs w:val="28"/>
          <w:lang w:val="sv-SE"/>
        </w:rPr>
        <w:t xml:space="preserve"> samt</w:t>
      </w:r>
      <w:r w:rsidR="00FB1875">
        <w:rPr>
          <w:rFonts w:ascii="Times New Roman" w:hAnsi="Times New Roman" w:cs="Times New Roman"/>
          <w:sz w:val="28"/>
          <w:szCs w:val="28"/>
          <w:lang w:val="sv-SE"/>
        </w:rPr>
        <w:t xml:space="preserve"> att</w:t>
      </w:r>
      <w:r w:rsidR="007B0B0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838A9">
        <w:rPr>
          <w:rFonts w:ascii="Times New Roman" w:hAnsi="Times New Roman" w:cs="Times New Roman"/>
          <w:sz w:val="28"/>
          <w:szCs w:val="28"/>
          <w:lang w:val="sv-SE"/>
        </w:rPr>
        <w:t xml:space="preserve">rekrytera, utveckla och behålla </w:t>
      </w:r>
      <w:r w:rsidR="00DA1185">
        <w:rPr>
          <w:rFonts w:ascii="Times New Roman" w:hAnsi="Times New Roman" w:cs="Times New Roman"/>
          <w:sz w:val="28"/>
          <w:szCs w:val="28"/>
          <w:lang w:val="sv-SE"/>
        </w:rPr>
        <w:t>ledare</w:t>
      </w:r>
      <w:r w:rsidR="00AA3B0C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6A1AFE1C" w14:textId="77777777" w:rsidR="00947B7E" w:rsidRDefault="00947B7E" w:rsidP="00947B7E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2893686B" w14:textId="126A8A41" w:rsidR="00947B7E" w:rsidRPr="004625A4" w:rsidRDefault="00947B7E" w:rsidP="004625A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25A4">
        <w:rPr>
          <w:rFonts w:ascii="Times New Roman" w:hAnsi="Times New Roman" w:cs="Times New Roman"/>
          <w:b/>
          <w:sz w:val="28"/>
          <w:szCs w:val="28"/>
          <w:lang w:val="sv-SE"/>
        </w:rPr>
        <w:t>Kvalitet.</w:t>
      </w:r>
      <w:r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Föreningen har som målsättning att ha nöjda medlemmar och medarbetare och en stark position i gymnastiksverige. </w:t>
      </w:r>
      <w:r w:rsidR="00FE53FF" w:rsidRPr="004625A4">
        <w:rPr>
          <w:rFonts w:ascii="Times New Roman" w:hAnsi="Times New Roman" w:cs="Times New Roman"/>
          <w:sz w:val="28"/>
          <w:szCs w:val="28"/>
          <w:lang w:val="sv-SE"/>
        </w:rPr>
        <w:t>Under</w:t>
      </w:r>
      <w:r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2023 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 xml:space="preserve">har vi </w:t>
      </w:r>
      <w:r w:rsidRPr="004625A4">
        <w:rPr>
          <w:rFonts w:ascii="Times New Roman" w:hAnsi="Times New Roman" w:cs="Times New Roman"/>
          <w:sz w:val="28"/>
          <w:szCs w:val="28"/>
          <w:lang w:val="sv-SE"/>
        </w:rPr>
        <w:t>genomför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>t</w:t>
      </w:r>
      <w:r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>ytterligare en medlemsundersökning</w:t>
      </w:r>
      <w:r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för att ge oss 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>ett bra</w:t>
      </w:r>
      <w:r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underlag för hur vi ska kunna förbättra föreningens redan höga nivå på kvalitet och kundnöjdhet.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3A198818" w14:textId="77777777" w:rsidR="00947B7E" w:rsidRPr="002941B3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0086D58B" w14:textId="6E9BAFB2" w:rsidR="00947B7E" w:rsidRPr="004625A4" w:rsidRDefault="001073DC" w:rsidP="004625A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25A4">
        <w:rPr>
          <w:rFonts w:ascii="Times New Roman" w:hAnsi="Times New Roman" w:cs="Times New Roman"/>
          <w:b/>
          <w:sz w:val="28"/>
          <w:szCs w:val="28"/>
          <w:lang w:val="sv-SE"/>
        </w:rPr>
        <w:t>Föreningens ledare</w:t>
      </w:r>
      <w:r w:rsidR="00DE14F1">
        <w:rPr>
          <w:rFonts w:ascii="Times New Roman" w:hAnsi="Times New Roman" w:cs="Times New Roman"/>
          <w:b/>
          <w:sz w:val="28"/>
          <w:szCs w:val="28"/>
          <w:lang w:val="sv-SE"/>
        </w:rPr>
        <w:t>- STG TOPCoaches</w:t>
      </w:r>
      <w:r w:rsidR="00947B7E" w:rsidRPr="004625A4">
        <w:rPr>
          <w:rFonts w:ascii="Times New Roman" w:hAnsi="Times New Roman" w:cs="Times New Roman"/>
          <w:b/>
          <w:sz w:val="28"/>
          <w:szCs w:val="28"/>
          <w:lang w:val="sv-SE"/>
        </w:rPr>
        <w:t>.</w:t>
      </w:r>
      <w:r w:rsidR="00947B7E"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61010F">
        <w:rPr>
          <w:rFonts w:ascii="Times New Roman" w:hAnsi="Times New Roman" w:cs="Times New Roman"/>
          <w:sz w:val="28"/>
          <w:szCs w:val="28"/>
          <w:lang w:val="sv-SE"/>
        </w:rPr>
        <w:t xml:space="preserve">Vi ska erbjuda ett omfattande och bra </w:t>
      </w:r>
      <w:r w:rsidR="00612335">
        <w:rPr>
          <w:rFonts w:ascii="Times New Roman" w:hAnsi="Times New Roman" w:cs="Times New Roman"/>
          <w:sz w:val="28"/>
          <w:szCs w:val="28"/>
          <w:lang w:val="sv-SE"/>
        </w:rPr>
        <w:t>utbildningspaket</w:t>
      </w:r>
      <w:r w:rsidR="0061010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612335">
        <w:rPr>
          <w:rFonts w:ascii="Times New Roman" w:hAnsi="Times New Roman" w:cs="Times New Roman"/>
          <w:sz w:val="28"/>
          <w:szCs w:val="28"/>
          <w:lang w:val="sv-SE"/>
        </w:rPr>
        <w:t xml:space="preserve">där vi </w:t>
      </w:r>
      <w:r w:rsidR="00947B7E"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fortsätter att utveckla STG Academy för att se till att vi som förening har de absolut bästa och 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>mest</w:t>
      </w:r>
      <w:r w:rsidR="00947B7E"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utbildade ledarna – inom samtliga delar av verksamheten.</w:t>
      </w:r>
      <w:r w:rsidR="0061010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 xml:space="preserve">2024 kommer vi att öka aktivitetsnivån i STG Academy och även 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 xml:space="preserve">arbeta fram en plan för 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 xml:space="preserve">utbildning och utveckling för ledare och tränare 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 xml:space="preserve">i andra föreningar. </w:t>
      </w:r>
      <w:r w:rsidR="0061010F">
        <w:rPr>
          <w:rFonts w:ascii="Times New Roman" w:hAnsi="Times New Roman" w:cs="Times New Roman"/>
          <w:sz w:val="28"/>
          <w:szCs w:val="28"/>
          <w:lang w:val="sv-SE"/>
        </w:rPr>
        <w:t>Vi</w:t>
      </w:r>
      <w:r w:rsidR="00FA4395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947B7E" w:rsidRPr="004625A4">
        <w:rPr>
          <w:rFonts w:ascii="Times New Roman" w:hAnsi="Times New Roman" w:cs="Times New Roman"/>
          <w:sz w:val="28"/>
          <w:szCs w:val="28"/>
          <w:lang w:val="sv-SE"/>
        </w:rPr>
        <w:t>satsar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 xml:space="preserve"> vidare</w:t>
      </w:r>
      <w:r w:rsidR="00947B7E"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på att behålla våra äldre gymnaster i föreningen som ledare genom att ge dem möjlighet till utbildning och 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>arbete hos oss.</w:t>
      </w:r>
      <w:r w:rsidR="0096704E" w:rsidRPr="004625A4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21677">
        <w:rPr>
          <w:rFonts w:ascii="Times New Roman" w:hAnsi="Times New Roman" w:cs="Times New Roman"/>
          <w:sz w:val="28"/>
          <w:szCs w:val="28"/>
          <w:lang w:val="sv-SE"/>
        </w:rPr>
        <w:t>Vi kommer att fortsätta söka nya vägar att attrahera tränare och få dem att stanna kvar.</w:t>
      </w:r>
      <w:r w:rsidR="00BA4EB6">
        <w:rPr>
          <w:rFonts w:ascii="Times New Roman" w:hAnsi="Times New Roman" w:cs="Times New Roman"/>
          <w:sz w:val="28"/>
          <w:szCs w:val="28"/>
          <w:lang w:val="sv-SE"/>
        </w:rPr>
        <w:t xml:space="preserve"> Arvodessystemet har reviderats under 2023, föreningen arbetar med att optimera verksamheten.</w:t>
      </w:r>
    </w:p>
    <w:p w14:paraId="4FBADA49" w14:textId="77777777" w:rsidR="00947B7E" w:rsidRPr="00AF6F69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4E55037A" w14:textId="77777777" w:rsidR="00947B7E" w:rsidRPr="008E5047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343915EF" w14:textId="21EBFFD5" w:rsidR="00947B7E" w:rsidRPr="00DE14F1" w:rsidRDefault="00947B7E" w:rsidP="00DE14F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EA7A84">
        <w:rPr>
          <w:rFonts w:ascii="Times New Roman" w:hAnsi="Times New Roman" w:cs="Times New Roman"/>
          <w:b/>
          <w:sz w:val="28"/>
          <w:szCs w:val="28"/>
          <w:lang w:val="sv-SE"/>
        </w:rPr>
        <w:t>Bredda vårt utbud – gympa hela livet och gympa för alla.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 xml:space="preserve"> Vi fortsätter att </w:t>
      </w:r>
      <w:r w:rsidR="00B4602D" w:rsidRPr="00EA7A84">
        <w:rPr>
          <w:rFonts w:ascii="Times New Roman" w:hAnsi="Times New Roman" w:cs="Times New Roman"/>
          <w:sz w:val="28"/>
          <w:szCs w:val="28"/>
          <w:lang w:val="sv-SE"/>
        </w:rPr>
        <w:t>utveckla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 xml:space="preserve"> vår </w:t>
      </w:r>
      <w:r w:rsidR="00B24352" w:rsidRPr="00EA7A84">
        <w:rPr>
          <w:rFonts w:ascii="Times New Roman" w:hAnsi="Times New Roman" w:cs="Times New Roman"/>
          <w:sz w:val="28"/>
          <w:szCs w:val="28"/>
          <w:lang w:val="sv-SE"/>
        </w:rPr>
        <w:t>tonårsgympa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>vuxenverksamhet</w:t>
      </w:r>
      <w:r w:rsidR="00B24352" w:rsidRPr="00EA7A84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>och gympa för de som behöver det mest</w:t>
      </w:r>
      <w:r w:rsidR="000D0B35">
        <w:rPr>
          <w:rFonts w:ascii="Times New Roman" w:hAnsi="Times New Roman" w:cs="Times New Roman"/>
          <w:sz w:val="28"/>
          <w:szCs w:val="28"/>
          <w:lang w:val="sv-SE"/>
        </w:rPr>
        <w:t>. Inte minst för att behålla våra äldre gymnaster</w:t>
      </w:r>
      <w:r w:rsidR="00B4602D" w:rsidRPr="00EA7A84"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 xml:space="preserve"> Vi planerar även 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 xml:space="preserve">att 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 xml:space="preserve">fortsätta 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>och utveckla familjegympan.</w:t>
      </w:r>
      <w:r w:rsidR="00315BD0">
        <w:rPr>
          <w:rFonts w:ascii="Times New Roman" w:hAnsi="Times New Roman" w:cs="Times New Roman"/>
          <w:sz w:val="28"/>
          <w:szCs w:val="28"/>
          <w:lang w:val="sv-SE"/>
        </w:rPr>
        <w:t xml:space="preserve"> Multigympa är ett koncept vi arbetar fram under 2024.</w:t>
      </w:r>
    </w:p>
    <w:p w14:paraId="0D0B34E3" w14:textId="77777777" w:rsidR="00947B7E" w:rsidRPr="00401BA0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01F8B1C0" w14:textId="77777777" w:rsidR="00947B7E" w:rsidRPr="006D6007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3CC7B897" w14:textId="77777777" w:rsidR="00947B7E" w:rsidRPr="006D6007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sv-SE"/>
        </w:rPr>
        <w:drawing>
          <wp:inline distT="0" distB="0" distL="0" distR="0" wp14:anchorId="3ED22E3F" wp14:editId="5DE5B950">
            <wp:extent cx="1061274" cy="878205"/>
            <wp:effectExtent l="0" t="0" r="571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75" cy="90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4848" w14:textId="77777777" w:rsidR="00947B7E" w:rsidRPr="006D6007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2D3ED151" w14:textId="77777777" w:rsidR="00947B7E" w:rsidRPr="006D6007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1E2EABE4" w14:textId="37AA4E67" w:rsidR="003D5125" w:rsidRPr="003D5125" w:rsidRDefault="003D5125" w:rsidP="00EA7A84">
      <w:pPr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Kommunikation och marknadsförening.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 xml:space="preserve">Under 2024 kommer vi att fortsätta skapa starkare närvaro och öka vår synlighet i sociala medier för att nå ut till potentiella medlemmar och supporters. </w:t>
      </w:r>
    </w:p>
    <w:p w14:paraId="4572C756" w14:textId="77777777" w:rsidR="003D5125" w:rsidRDefault="003D5125" w:rsidP="00EA7A84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5DF0DE20" w14:textId="1B8E8436" w:rsidR="00947B7E" w:rsidRDefault="00947B7E" w:rsidP="00EA7A8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EA7A84">
        <w:rPr>
          <w:rFonts w:ascii="Times New Roman" w:hAnsi="Times New Roman" w:cs="Times New Roman"/>
          <w:b/>
          <w:sz w:val="28"/>
          <w:szCs w:val="28"/>
          <w:lang w:val="sv-SE"/>
        </w:rPr>
        <w:t>Ännu bättre samarbete mellan sektioner och grupper</w:t>
      </w:r>
      <w:r w:rsidR="00DE14F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samt ideellt engagemang. 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>Med ökad rörlighet mellan grupper och sektioner ser vi att våra gymnaster håller på med gymnastik längre – helst hela livet. Samarbete mellan sektionerna och en förståelse är nyckeln till att lyckas med detta, samt information om hur det fungerar i praktiken till gymnaster och föräldrar. Vi kommer fortsatt arbeta med att förankra föreningens helhetstänk och långsiktiga plan, där alla arbetar mot samma mål</w:t>
      </w:r>
      <w:r w:rsidR="00A31E42">
        <w:rPr>
          <w:rFonts w:ascii="Times New Roman" w:hAnsi="Times New Roman" w:cs="Times New Roman"/>
          <w:sz w:val="28"/>
          <w:szCs w:val="28"/>
          <w:lang w:val="sv-SE"/>
        </w:rPr>
        <w:t xml:space="preserve"> och där </w:t>
      </w:r>
      <w:r w:rsidR="00116FD3">
        <w:rPr>
          <w:rFonts w:ascii="Times New Roman" w:hAnsi="Times New Roman" w:cs="Times New Roman"/>
          <w:sz w:val="28"/>
          <w:szCs w:val="28"/>
          <w:lang w:val="sv-SE"/>
        </w:rPr>
        <w:t xml:space="preserve">fler får möjlighet att träna på den nivån och med den träningsmängd </w:t>
      </w:r>
      <w:r w:rsidR="0063635B">
        <w:rPr>
          <w:rFonts w:ascii="Times New Roman" w:hAnsi="Times New Roman" w:cs="Times New Roman"/>
          <w:sz w:val="28"/>
          <w:szCs w:val="28"/>
          <w:lang w:val="sv-SE"/>
        </w:rPr>
        <w:t>de önskar.</w:t>
      </w:r>
      <w:r w:rsidR="00DE14F1">
        <w:rPr>
          <w:rFonts w:ascii="Times New Roman" w:hAnsi="Times New Roman" w:cs="Times New Roman"/>
          <w:sz w:val="28"/>
          <w:szCs w:val="28"/>
          <w:lang w:val="sv-SE"/>
        </w:rPr>
        <w:t xml:space="preserve"> Det ideella engagemanget är viktigt, vi satsar på att engagera föräldrar och andra som finns runt gymnasterna.</w:t>
      </w:r>
    </w:p>
    <w:p w14:paraId="12A82E28" w14:textId="77777777" w:rsidR="00947B7E" w:rsidRDefault="00947B7E" w:rsidP="00947B7E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                   </w:t>
      </w:r>
    </w:p>
    <w:p w14:paraId="58FF824E" w14:textId="77777777" w:rsidR="00947B7E" w:rsidRPr="00EA7A84" w:rsidRDefault="00947B7E" w:rsidP="00EA7A8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EA7A84">
        <w:rPr>
          <w:rFonts w:ascii="Times New Roman" w:hAnsi="Times New Roman" w:cs="Times New Roman"/>
          <w:b/>
          <w:sz w:val="28"/>
          <w:szCs w:val="28"/>
          <w:lang w:val="sv-SE"/>
        </w:rPr>
        <w:t>Värdegrund, SDT och Barnkonventionen.</w:t>
      </w:r>
      <w:r w:rsidRPr="00EA7A84">
        <w:rPr>
          <w:rFonts w:ascii="Times New Roman" w:hAnsi="Times New Roman" w:cs="Times New Roman"/>
          <w:sz w:val="28"/>
          <w:szCs w:val="28"/>
          <w:lang w:val="sv-SE"/>
        </w:rPr>
        <w:t xml:space="preserve"> Vår värdegrund ska genomsyra vår verksamhet och återspeglas i en sund föreningskultur där vi jobbar tillsammans för att våra gymnaster ska träna, tävla och framför allt trivas. Individens egen drivkraft är motorn till gymnastisk utveckling. FN:s barnkonvention är nu svensk lag. Dessa tre grundpelare gör att vi som föreningen har möjlighet att erbjuda kvalitet i allt från barngympa till gympa på olympisk nivå.</w:t>
      </w:r>
    </w:p>
    <w:p w14:paraId="5D36D901" w14:textId="77777777" w:rsidR="00947B7E" w:rsidRPr="006D6007" w:rsidRDefault="00947B7E" w:rsidP="00947B7E">
      <w:pPr>
        <w:pStyle w:val="Liststycke"/>
        <w:rPr>
          <w:rFonts w:ascii="Times New Roman" w:hAnsi="Times New Roman" w:cs="Times New Roman"/>
          <w:sz w:val="28"/>
          <w:szCs w:val="28"/>
          <w:lang w:val="sv-SE"/>
        </w:rPr>
      </w:pPr>
    </w:p>
    <w:p w14:paraId="1C2FE012" w14:textId="77777777" w:rsidR="00947B7E" w:rsidRPr="00AF6F69" w:rsidRDefault="00947B7E" w:rsidP="00947B7E">
      <w:pPr>
        <w:pStyle w:val="Liststycke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73B3CACF" w14:textId="77777777" w:rsidR="00947B7E" w:rsidRPr="002A43CE" w:rsidRDefault="00947B7E" w:rsidP="00947B7E">
      <w:pPr>
        <w:pStyle w:val="Liststycke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537850D9" w14:textId="58BCACAF" w:rsidR="00947B7E" w:rsidRPr="008E063B" w:rsidRDefault="00947B7E" w:rsidP="007932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Nå toppen.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STG är en förening med ambitioner att vara bäst i Sverige inom våra tävlingsdiscipliner och nå internationell nivå inom vår idrott. Under 202</w:t>
      </w:r>
      <w:r w:rsidR="00721677">
        <w:rPr>
          <w:rFonts w:ascii="Times New Roman" w:hAnsi="Times New Roman" w:cs="Times New Roman"/>
          <w:bCs/>
          <w:sz w:val="28"/>
          <w:szCs w:val="28"/>
          <w:lang w:val="sv-SE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har flera gymnaster inom Artistisk gymnastik </w:t>
      </w:r>
      <w:r w:rsidR="00B854C7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varit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uttagna till landslaget eller förberedande grupper till landslag</w:t>
      </w:r>
      <w:r w:rsidR="009C7A0A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</w:t>
      </w:r>
      <w:r w:rsidR="00B854C7">
        <w:rPr>
          <w:rFonts w:cstheme="minorHAnsi"/>
          <w:bCs/>
        </w:rPr>
        <w:t>.</w:t>
      </w:r>
      <w:r w:rsidR="006F186F">
        <w:rPr>
          <w:rFonts w:ascii="Times New Roman" w:hAnsi="Times New Roman" w:cs="Times New Roman"/>
          <w:bCs/>
          <w:sz w:val="28"/>
          <w:szCs w:val="28"/>
        </w:rPr>
        <w:t xml:space="preserve"> Under </w:t>
      </w:r>
      <w:r w:rsidR="00B854C7" w:rsidRPr="00C97863">
        <w:rPr>
          <w:rFonts w:ascii="Times New Roman" w:hAnsi="Times New Roman" w:cs="Times New Roman"/>
          <w:bCs/>
          <w:sz w:val="28"/>
          <w:szCs w:val="28"/>
        </w:rPr>
        <w:t>202</w:t>
      </w:r>
      <w:r w:rsidR="00721677">
        <w:rPr>
          <w:rFonts w:ascii="Times New Roman" w:hAnsi="Times New Roman" w:cs="Times New Roman"/>
          <w:bCs/>
          <w:sz w:val="28"/>
          <w:szCs w:val="28"/>
        </w:rPr>
        <w:t>3</w:t>
      </w:r>
      <w:r w:rsidR="006F186F">
        <w:rPr>
          <w:rFonts w:ascii="Times New Roman" w:hAnsi="Times New Roman" w:cs="Times New Roman"/>
          <w:bCs/>
          <w:sz w:val="28"/>
          <w:szCs w:val="28"/>
        </w:rPr>
        <w:t xml:space="preserve"> har vi </w:t>
      </w:r>
      <w:r w:rsidR="0092431F">
        <w:rPr>
          <w:rFonts w:ascii="Times New Roman" w:hAnsi="Times New Roman" w:cs="Times New Roman"/>
          <w:bCs/>
          <w:sz w:val="28"/>
          <w:szCs w:val="28"/>
        </w:rPr>
        <w:t>nått</w:t>
      </w:r>
      <w:r w:rsidR="006F186F">
        <w:rPr>
          <w:rFonts w:ascii="Times New Roman" w:hAnsi="Times New Roman" w:cs="Times New Roman"/>
          <w:bCs/>
          <w:sz w:val="28"/>
          <w:szCs w:val="28"/>
        </w:rPr>
        <w:t xml:space="preserve"> framgångar</w:t>
      </w:r>
      <w:r w:rsidR="00B854C7" w:rsidRPr="00C97863">
        <w:rPr>
          <w:rFonts w:ascii="Times New Roman" w:hAnsi="Times New Roman" w:cs="Times New Roman"/>
          <w:bCs/>
          <w:sz w:val="28"/>
          <w:szCs w:val="28"/>
        </w:rPr>
        <w:t xml:space="preserve"> med deltagande på både EM och VM inom kvinnlig artistisk gymnastik.</w:t>
      </w:r>
      <w:r w:rsidR="00C97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258">
        <w:rPr>
          <w:rFonts w:ascii="Times New Roman" w:hAnsi="Times New Roman" w:cs="Times New Roman"/>
          <w:bCs/>
          <w:sz w:val="28"/>
          <w:szCs w:val="28"/>
        </w:rPr>
        <w:t xml:space="preserve">Även </w:t>
      </w:r>
      <w:r w:rsidR="00D4123D">
        <w:rPr>
          <w:rFonts w:ascii="Times New Roman" w:hAnsi="Times New Roman" w:cs="Times New Roman"/>
          <w:bCs/>
          <w:sz w:val="28"/>
          <w:szCs w:val="28"/>
        </w:rPr>
        <w:t xml:space="preserve">inom STG truppsektion </w:t>
      </w:r>
      <w:r w:rsidR="00716C10">
        <w:rPr>
          <w:rFonts w:ascii="Times New Roman" w:hAnsi="Times New Roman" w:cs="Times New Roman"/>
          <w:bCs/>
          <w:sz w:val="28"/>
          <w:szCs w:val="28"/>
        </w:rPr>
        <w:t xml:space="preserve">fortsätter vi arbetet långsiktigt </w:t>
      </w:r>
      <w:r w:rsidR="008E063B">
        <w:rPr>
          <w:rFonts w:ascii="Times New Roman" w:hAnsi="Times New Roman" w:cs="Times New Roman"/>
          <w:bCs/>
          <w:sz w:val="28"/>
          <w:szCs w:val="28"/>
        </w:rPr>
        <w:t xml:space="preserve">med att våra gymanster ska kunna nå internationell nivå. </w:t>
      </w:r>
      <w:r w:rsidR="008E063B">
        <w:rPr>
          <w:rFonts w:ascii="Times New Roman" w:hAnsi="Times New Roman" w:cs="Times New Roman"/>
          <w:bCs/>
          <w:sz w:val="28"/>
          <w:szCs w:val="28"/>
          <w:lang w:val="sv-SE"/>
        </w:rPr>
        <w:t>Vi</w:t>
      </w:r>
      <w:r w:rsidRPr="00793258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kommer </w:t>
      </w:r>
      <w:r w:rsidR="00C97863" w:rsidRPr="00793258">
        <w:rPr>
          <w:rFonts w:ascii="Times New Roman" w:hAnsi="Times New Roman" w:cs="Times New Roman"/>
          <w:bCs/>
          <w:sz w:val="28"/>
          <w:szCs w:val="28"/>
          <w:lang w:val="sv-SE"/>
        </w:rPr>
        <w:t>fortsatt säkra</w:t>
      </w:r>
      <w:r w:rsidRPr="00793258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att gymnasterna tillsammans med föräldrar, sponsorer och förbund får de bästa förutsättningarna att lyckas i sin satsning. </w:t>
      </w:r>
    </w:p>
    <w:p w14:paraId="0EC78BC1" w14:textId="6B07C1DB" w:rsidR="00C97863" w:rsidRPr="0064302A" w:rsidRDefault="00C97863" w:rsidP="00793258">
      <w:pPr>
        <w:pStyle w:val="Liststycke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9C2732B" w14:textId="77777777" w:rsidR="00947B7E" w:rsidRPr="006A6577" w:rsidRDefault="00947B7E" w:rsidP="00947B7E">
      <w:pPr>
        <w:pStyle w:val="Liststycke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3C90666" w14:textId="77777777" w:rsidR="00947B7E" w:rsidRDefault="00947B7E" w:rsidP="00947B7E">
      <w:pPr>
        <w:ind w:left="5216" w:firstLine="1304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2073F5D" w14:textId="77777777" w:rsidR="00947B7E" w:rsidRDefault="00947B7E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                   </w:t>
      </w:r>
    </w:p>
    <w:p w14:paraId="3B169120" w14:textId="77777777" w:rsidR="00947B7E" w:rsidRDefault="00947B7E" w:rsidP="00947B7E">
      <w:pPr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3DA7E7E" wp14:editId="5DB0ACE5">
            <wp:extent cx="1130300" cy="9347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5742" w14:textId="77777777" w:rsidR="00947B7E" w:rsidRDefault="00947B7E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C8268A0" w14:textId="77777777" w:rsidR="00947B7E" w:rsidRDefault="00947B7E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9C93427" w14:textId="77777777" w:rsidR="00315BD0" w:rsidRDefault="00947B7E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Budget 202</w:t>
      </w:r>
      <w:r w:rsidR="00DE14F1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</w:p>
    <w:p w14:paraId="2014A961" w14:textId="53B29FEA" w:rsidR="00315BD0" w:rsidRPr="00315BD0" w:rsidRDefault="00315BD0" w:rsidP="00947B7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Budgeten för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reflekterar verksamhetsplanen och de satsningsområden som beskrivits.</w:t>
      </w:r>
    </w:p>
    <w:tbl>
      <w:tblPr>
        <w:tblW w:w="7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240"/>
        <w:gridCol w:w="1720"/>
        <w:gridCol w:w="1720"/>
      </w:tblGrid>
      <w:tr w:rsidR="00315BD0" w:rsidRPr="00315BD0" w14:paraId="6968CD9B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5419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4FFEC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D74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6A90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385C3A82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B575" w14:textId="75E75A61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36E6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F6E3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4876CB76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511D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8EBD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D443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BB86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4A34EB5A" w14:textId="77777777" w:rsidTr="00315BD0">
        <w:trPr>
          <w:trHeight w:val="434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4829" w14:textId="788C7400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315BD0">
              <w:rPr>
                <w:color w:val="000000"/>
              </w:rPr>
              <w:t>Period: 2301-2312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FBA7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F655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62288B5F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F80C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9AFC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78FB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214E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66233A23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AD9F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8BB1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0AD3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E81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587BE5D6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314B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  <w:t>Konto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0F9F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  <w:t>Benämning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0687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  <w:t>Budget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329F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  <w:t>Utfall</w:t>
            </w:r>
          </w:p>
        </w:tc>
      </w:tr>
      <w:tr w:rsidR="00315BD0" w:rsidRPr="00315BD0" w14:paraId="1AEF0E8B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280C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E03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4823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  <w:t>2401-2412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21AF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  <w:t>2301-2312</w:t>
            </w:r>
          </w:p>
        </w:tc>
      </w:tr>
      <w:tr w:rsidR="00315BD0" w:rsidRPr="00315BD0" w14:paraId="5CCB767A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769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AD6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89A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5303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642F508C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FEBD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RÖRELSENS INTÄKTER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5906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1625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4FE4023B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F32A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Träningsavgifter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3FBD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7 380 000,00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1950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7 093 215,00</w:t>
            </w:r>
          </w:p>
        </w:tc>
      </w:tr>
      <w:tr w:rsidR="00315BD0" w:rsidRPr="00315BD0" w14:paraId="5CEF6B1E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680C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Tävling/Arrangemang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93AA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1 475 000,00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B9D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1 779 185,13</w:t>
            </w:r>
          </w:p>
        </w:tc>
      </w:tr>
      <w:tr w:rsidR="00315BD0" w:rsidRPr="00315BD0" w14:paraId="3C97724C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49DE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Övriga intäkter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C00A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F2D0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CB5D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418 820,31</w:t>
            </w:r>
          </w:p>
        </w:tc>
      </w:tr>
      <w:tr w:rsidR="00315BD0" w:rsidRPr="00315BD0" w14:paraId="3CC88583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9A57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Aktivitetsbidrag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AF14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8A4D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760 169,61</w:t>
            </w:r>
          </w:p>
        </w:tc>
      </w:tr>
      <w:tr w:rsidR="00315BD0" w:rsidRPr="00315BD0" w14:paraId="755FBFE7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CEC0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Medlemsavgifter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85A0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461 000,00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17EE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461 000,00</w:t>
            </w:r>
          </w:p>
        </w:tc>
      </w:tr>
      <w:tr w:rsidR="00315BD0" w:rsidRPr="00315BD0" w14:paraId="639A61B6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F4D4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SUMMA RÖRELSENS INTÄKTER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6937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10 141 000,00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5B17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10 512 390,05</w:t>
            </w:r>
          </w:p>
        </w:tc>
      </w:tr>
      <w:tr w:rsidR="00315BD0" w:rsidRPr="00315BD0" w14:paraId="36FAB707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7396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0D9E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5539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11B1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5D498B95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52FF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RÖRELSENS KOSTNADER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D71B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F1D0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307FB749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B6DB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Hallen Ulvsundavägen 106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E6B1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-1 554 000,00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0D28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-1 574 662,28</w:t>
            </w:r>
          </w:p>
        </w:tc>
      </w:tr>
      <w:tr w:rsidR="00315BD0" w:rsidRPr="00315BD0" w14:paraId="6C8D372B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39D2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Träningskostnader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0002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-2 750 000,00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3AF3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-2 510 092,40</w:t>
            </w:r>
          </w:p>
        </w:tc>
      </w:tr>
      <w:tr w:rsidR="00315BD0" w:rsidRPr="00315BD0" w14:paraId="05E0E2D6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63FC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Utbildning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7BA9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650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-100 000,00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B125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-110 225,00</w:t>
            </w:r>
          </w:p>
        </w:tc>
      </w:tr>
      <w:tr w:rsidR="00315BD0" w:rsidRPr="00315BD0" w14:paraId="4BEE4ACA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F21A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Tävlingskostnader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86C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-240 000,00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644B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-322 593,27</w:t>
            </w:r>
          </w:p>
        </w:tc>
      </w:tr>
      <w:tr w:rsidR="00315BD0" w:rsidRPr="00315BD0" w14:paraId="3A829BB2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1468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Arrangemang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9846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7BA3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-205 000,00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FD9F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-183 223,78</w:t>
            </w:r>
          </w:p>
        </w:tc>
      </w:tr>
      <w:tr w:rsidR="00315BD0" w:rsidRPr="00315BD0" w14:paraId="20B03F37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DAD3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Licensavgifter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9E5A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CA66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-120 000,00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6D84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-106 875,00</w:t>
            </w:r>
          </w:p>
        </w:tc>
      </w:tr>
      <w:tr w:rsidR="00315BD0" w:rsidRPr="00315BD0" w14:paraId="05CD9E34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E7CA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Övriga externa kostnader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FCCF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-379 000,00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7587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-505 728,88</w:t>
            </w:r>
          </w:p>
        </w:tc>
      </w:tr>
      <w:tr w:rsidR="00315BD0" w:rsidRPr="00315BD0" w14:paraId="5176FC2A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E26B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Personalkostnader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FF2F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-5 157 285,00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7F86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-4 228 097,19</w:t>
            </w:r>
          </w:p>
        </w:tc>
      </w:tr>
      <w:tr w:rsidR="00315BD0" w:rsidRPr="00315BD0" w14:paraId="14A65B1E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B1D8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Avskrivning inventarier/redskap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9C77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-16 560,00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3168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-14 609,00</w:t>
            </w:r>
          </w:p>
        </w:tc>
      </w:tr>
      <w:tr w:rsidR="00315BD0" w:rsidRPr="00315BD0" w14:paraId="3A1ECD2B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5CF3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Avskrivning bilar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A1F4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-89 000,00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F904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-35 748,00</w:t>
            </w:r>
          </w:p>
        </w:tc>
      </w:tr>
      <w:tr w:rsidR="00315BD0" w:rsidRPr="00315BD0" w14:paraId="5A75955A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5BC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Avskrivning inventarier/IT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9258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-12 700,00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F3A9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00"/>
                <w:sz w:val="17"/>
                <w:szCs w:val="17"/>
                <w:lang w:val="sv-SE" w:eastAsia="sv-SE"/>
              </w:rPr>
              <w:t>0,00</w:t>
            </w:r>
          </w:p>
        </w:tc>
      </w:tr>
      <w:tr w:rsidR="00315BD0" w:rsidRPr="00315BD0" w14:paraId="767C80FA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A61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SUMMA RÖRELSENS KOSTNADER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CF87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-10 623 545,00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444A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-9 591 854,80</w:t>
            </w:r>
          </w:p>
        </w:tc>
      </w:tr>
      <w:tr w:rsidR="00315BD0" w:rsidRPr="00315BD0" w14:paraId="2337F61B" w14:textId="77777777" w:rsidTr="00315BD0">
        <w:trPr>
          <w:trHeight w:val="22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FC92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295B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6A5D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579C" w14:textId="77777777" w:rsidR="00315BD0" w:rsidRPr="00315BD0" w:rsidRDefault="00315BD0" w:rsidP="003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315BD0" w:rsidRPr="00315BD0" w14:paraId="54FF493C" w14:textId="77777777" w:rsidTr="00315BD0">
        <w:trPr>
          <w:trHeight w:val="228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3C02" w14:textId="77777777" w:rsidR="00315BD0" w:rsidRPr="00315BD0" w:rsidRDefault="00315BD0" w:rsidP="00315BD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BERÄKNAT RESULTAT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D62A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-482 545,00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075C" w14:textId="77777777" w:rsidR="00315BD0" w:rsidRPr="00315BD0" w:rsidRDefault="00315BD0" w:rsidP="00315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</w:pPr>
            <w:r w:rsidRPr="00315BD0">
              <w:rPr>
                <w:rFonts w:ascii="Arial" w:eastAsia="Times New Roman" w:hAnsi="Arial" w:cs="Arial"/>
                <w:color w:val="000080"/>
                <w:sz w:val="17"/>
                <w:szCs w:val="17"/>
                <w:lang w:val="sv-SE" w:eastAsia="sv-SE"/>
              </w:rPr>
              <w:t>920 535,25</w:t>
            </w:r>
          </w:p>
        </w:tc>
      </w:tr>
    </w:tbl>
    <w:p w14:paraId="41F4A076" w14:textId="0D7D44E8" w:rsidR="00947B7E" w:rsidRDefault="00947B7E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3B509E9B" w14:textId="77777777" w:rsidR="00315BD0" w:rsidRDefault="00315BD0" w:rsidP="00947B7E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B73D156" w14:textId="77777777" w:rsidR="00315BD0" w:rsidRDefault="00315BD0" w:rsidP="00947B7E">
      <w:pPr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</w:p>
    <w:sectPr w:rsidR="0031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19A"/>
    <w:multiLevelType w:val="hybridMultilevel"/>
    <w:tmpl w:val="A354590A"/>
    <w:lvl w:ilvl="0" w:tplc="1B5C1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204"/>
    <w:multiLevelType w:val="hybridMultilevel"/>
    <w:tmpl w:val="D85E1C7E"/>
    <w:lvl w:ilvl="0" w:tplc="20D29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7837">
    <w:abstractNumId w:val="1"/>
  </w:num>
  <w:num w:numId="2" w16cid:durableId="34559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7E"/>
    <w:rsid w:val="00034AB2"/>
    <w:rsid w:val="000B4CAA"/>
    <w:rsid w:val="000D0B35"/>
    <w:rsid w:val="001073DC"/>
    <w:rsid w:val="00116FD3"/>
    <w:rsid w:val="00131273"/>
    <w:rsid w:val="001838A9"/>
    <w:rsid w:val="001E3C7F"/>
    <w:rsid w:val="00315BD0"/>
    <w:rsid w:val="0037542E"/>
    <w:rsid w:val="003A0DA3"/>
    <w:rsid w:val="003C3B3F"/>
    <w:rsid w:val="003D5125"/>
    <w:rsid w:val="004625A4"/>
    <w:rsid w:val="00566A2B"/>
    <w:rsid w:val="0061010F"/>
    <w:rsid w:val="00612335"/>
    <w:rsid w:val="0063635B"/>
    <w:rsid w:val="006450CD"/>
    <w:rsid w:val="00687A78"/>
    <w:rsid w:val="006F186F"/>
    <w:rsid w:val="00716C10"/>
    <w:rsid w:val="00721677"/>
    <w:rsid w:val="007634E0"/>
    <w:rsid w:val="00793258"/>
    <w:rsid w:val="007B0B0E"/>
    <w:rsid w:val="00810847"/>
    <w:rsid w:val="00882AE5"/>
    <w:rsid w:val="008E063B"/>
    <w:rsid w:val="008E5382"/>
    <w:rsid w:val="0092431F"/>
    <w:rsid w:val="00947B7E"/>
    <w:rsid w:val="00966929"/>
    <w:rsid w:val="0096704E"/>
    <w:rsid w:val="009C7A0A"/>
    <w:rsid w:val="00A24F8A"/>
    <w:rsid w:val="00A31E42"/>
    <w:rsid w:val="00A663E4"/>
    <w:rsid w:val="00AA3B0C"/>
    <w:rsid w:val="00B24352"/>
    <w:rsid w:val="00B4602D"/>
    <w:rsid w:val="00B52754"/>
    <w:rsid w:val="00B854C7"/>
    <w:rsid w:val="00BA4EB6"/>
    <w:rsid w:val="00BD02E2"/>
    <w:rsid w:val="00C97863"/>
    <w:rsid w:val="00D01D65"/>
    <w:rsid w:val="00D4123D"/>
    <w:rsid w:val="00DA1185"/>
    <w:rsid w:val="00DE14F1"/>
    <w:rsid w:val="00E8160A"/>
    <w:rsid w:val="00E87CBE"/>
    <w:rsid w:val="00E94F96"/>
    <w:rsid w:val="00EA7A84"/>
    <w:rsid w:val="00F7361C"/>
    <w:rsid w:val="00FA4395"/>
    <w:rsid w:val="00FB1875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BE19"/>
  <w15:chartTrackingRefBased/>
  <w15:docId w15:val="{38360C61-B2BF-488E-91FC-561091B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7E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Wissinger</dc:creator>
  <cp:keywords/>
  <dc:description/>
  <cp:lastModifiedBy>Christina Wissinger</cp:lastModifiedBy>
  <cp:revision>2</cp:revision>
  <dcterms:created xsi:type="dcterms:W3CDTF">2024-03-02T07:51:00Z</dcterms:created>
  <dcterms:modified xsi:type="dcterms:W3CDTF">2024-03-02T07:51:00Z</dcterms:modified>
</cp:coreProperties>
</file>